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697123" w:rsidTr="00697123">
        <w:tc>
          <w:tcPr>
            <w:tcW w:w="2802" w:type="dxa"/>
            <w:shd w:val="pct12" w:color="auto" w:fill="auto"/>
          </w:tcPr>
          <w:p w:rsidR="00697123" w:rsidRDefault="00697123" w:rsidP="00697123">
            <w:pPr>
              <w:jc w:val="both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CONTACT DETAILS</w:t>
            </w:r>
          </w:p>
          <w:p w:rsidR="00697123" w:rsidRDefault="00697123" w:rsidP="00697123">
            <w:pPr>
              <w:jc w:val="both"/>
              <w:rPr>
                <w:sz w:val="22"/>
              </w:rPr>
            </w:pPr>
          </w:p>
          <w:p w:rsidR="00697123" w:rsidRDefault="00D61CAE" w:rsidP="00697123">
            <w:pPr>
              <w:rPr>
                <w:i/>
              </w:rPr>
            </w:pPr>
            <w:r>
              <w:rPr>
                <w:i/>
              </w:rPr>
              <w:t>GMP Consulting Ltd</w:t>
            </w:r>
          </w:p>
          <w:p w:rsidR="00D61CAE" w:rsidRDefault="00D61CAE" w:rsidP="00697123">
            <w:pPr>
              <w:rPr>
                <w:i/>
              </w:rPr>
            </w:pPr>
            <w:r>
              <w:rPr>
                <w:i/>
              </w:rPr>
              <w:t>12 Topliss Drive</w:t>
            </w:r>
          </w:p>
          <w:p w:rsidR="00D61CAE" w:rsidRDefault="00D61CAE" w:rsidP="00697123">
            <w:pPr>
              <w:rPr>
                <w:i/>
              </w:rPr>
            </w:pPr>
            <w:r>
              <w:rPr>
                <w:i/>
              </w:rPr>
              <w:t>Northcross</w:t>
            </w:r>
          </w:p>
          <w:p w:rsidR="00D61CAE" w:rsidRDefault="00D61CAE" w:rsidP="00697123">
            <w:pPr>
              <w:rPr>
                <w:i/>
              </w:rPr>
            </w:pPr>
            <w:r>
              <w:rPr>
                <w:i/>
              </w:rPr>
              <w:t>Auckland 0632</w:t>
            </w:r>
          </w:p>
          <w:p w:rsidR="00D61CAE" w:rsidRPr="005B5E1E" w:rsidRDefault="00D61CAE" w:rsidP="00697123">
            <w:pPr>
              <w:rPr>
                <w:i/>
              </w:rPr>
            </w:pPr>
          </w:p>
          <w:p w:rsidR="00697123" w:rsidRPr="005B5E1E" w:rsidRDefault="00697123" w:rsidP="00697123">
            <w:pPr>
              <w:rPr>
                <w:i/>
              </w:rPr>
            </w:pPr>
            <w:r w:rsidRPr="005B5E1E">
              <w:rPr>
                <w:i/>
              </w:rPr>
              <w:t xml:space="preserve">Mobile: </w:t>
            </w:r>
            <w:r w:rsidR="000B6140">
              <w:rPr>
                <w:i/>
              </w:rPr>
              <w:t>0212520823</w:t>
            </w:r>
            <w:bookmarkStart w:id="0" w:name="_GoBack"/>
            <w:bookmarkEnd w:id="0"/>
          </w:p>
          <w:p w:rsidR="00697123" w:rsidRPr="005B5E1E" w:rsidRDefault="00697123" w:rsidP="00697123">
            <w:pPr>
              <w:rPr>
                <w:i/>
              </w:rPr>
            </w:pPr>
            <w:r w:rsidRPr="005B5E1E">
              <w:rPr>
                <w:i/>
              </w:rPr>
              <w:t xml:space="preserve">Email: </w:t>
            </w:r>
            <w:r w:rsidR="00D61CAE">
              <w:rPr>
                <w:i/>
              </w:rPr>
              <w:t>glenn</w:t>
            </w:r>
            <w:r w:rsidRPr="005B5E1E">
              <w:rPr>
                <w:i/>
              </w:rPr>
              <w:t>@ridleydunphy.co.nz</w:t>
            </w:r>
          </w:p>
          <w:p w:rsidR="00697123" w:rsidRPr="005B5E1E" w:rsidRDefault="00697123" w:rsidP="00697123">
            <w:pPr>
              <w:pStyle w:val="Heading2"/>
              <w:rPr>
                <w:rFonts w:ascii="Times New Roman" w:hAnsi="Times New Roman"/>
                <w:i/>
              </w:rPr>
            </w:pPr>
          </w:p>
          <w:p w:rsidR="00697123" w:rsidRDefault="00697123" w:rsidP="00697123">
            <w:pPr>
              <w:pStyle w:val="Heading2"/>
            </w:pPr>
            <w:r>
              <w:t>SPECIALIST AREAS</w:t>
            </w:r>
          </w:p>
          <w:p w:rsidR="00697123" w:rsidRPr="00705E33" w:rsidRDefault="00697123" w:rsidP="00697123"/>
          <w:p w:rsidR="00697123" w:rsidRPr="00374D87" w:rsidRDefault="00D61CAE" w:rsidP="00697123">
            <w:pPr>
              <w:numPr>
                <w:ilvl w:val="0"/>
                <w:numId w:val="1"/>
              </w:numPr>
              <w:spacing w:after="120"/>
              <w:rPr>
                <w:rFonts w:cs="Arial"/>
              </w:rPr>
            </w:pPr>
            <w:r w:rsidRPr="00374D87">
              <w:rPr>
                <w:rFonts w:cs="Arial"/>
                <w:i/>
              </w:rPr>
              <w:t>Resource Consent Compliance and RMA Enforcement</w:t>
            </w:r>
          </w:p>
          <w:p w:rsidR="00697123" w:rsidRPr="00374D87" w:rsidRDefault="00D61CAE" w:rsidP="00697123">
            <w:pPr>
              <w:numPr>
                <w:ilvl w:val="0"/>
                <w:numId w:val="1"/>
              </w:numPr>
              <w:spacing w:after="120"/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Land Development Effects Management</w:t>
            </w:r>
          </w:p>
          <w:p w:rsidR="00697123" w:rsidRPr="00374D87" w:rsidRDefault="00D61CAE" w:rsidP="00697123">
            <w:pPr>
              <w:numPr>
                <w:ilvl w:val="0"/>
                <w:numId w:val="1"/>
              </w:numPr>
              <w:spacing w:after="120"/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Statutory Approvals under the RMA</w:t>
            </w:r>
            <w:r w:rsidR="003B1C77">
              <w:rPr>
                <w:rFonts w:cs="Arial"/>
                <w:i/>
              </w:rPr>
              <w:t xml:space="preserve"> and HASHAA</w:t>
            </w:r>
          </w:p>
          <w:p w:rsidR="00697123" w:rsidRPr="00374D87" w:rsidRDefault="00D61CAE" w:rsidP="00697123">
            <w:pPr>
              <w:numPr>
                <w:ilvl w:val="0"/>
                <w:numId w:val="1"/>
              </w:numPr>
              <w:spacing w:after="120"/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Assessing Environmental Effects</w:t>
            </w:r>
          </w:p>
          <w:p w:rsidR="00697123" w:rsidRDefault="00697123" w:rsidP="00697123">
            <w:pPr>
              <w:numPr>
                <w:ilvl w:val="0"/>
                <w:numId w:val="1"/>
              </w:numPr>
              <w:spacing w:after="120"/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Erosion and Sediment Management</w:t>
            </w:r>
          </w:p>
          <w:p w:rsidR="00BA09ED" w:rsidRDefault="00BA09ED" w:rsidP="00697123">
            <w:pPr>
              <w:numPr>
                <w:ilvl w:val="0"/>
                <w:numId w:val="1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Working knowledge of local government regulatory processes</w:t>
            </w:r>
          </w:p>
          <w:p w:rsidR="00BA09ED" w:rsidRPr="00374D87" w:rsidRDefault="00BA09ED" w:rsidP="00697123">
            <w:pPr>
              <w:numPr>
                <w:ilvl w:val="0"/>
                <w:numId w:val="1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Auckland Unitary Plan rules</w:t>
            </w:r>
          </w:p>
          <w:p w:rsidR="00697123" w:rsidRDefault="00697123" w:rsidP="00697123">
            <w:pPr>
              <w:spacing w:after="120"/>
              <w:rPr>
                <w:rFonts w:ascii="Times New Roman" w:hAnsi="Times New Roman"/>
                <w:i/>
                <w:sz w:val="22"/>
              </w:rPr>
            </w:pPr>
          </w:p>
          <w:p w:rsidR="00697123" w:rsidRDefault="00697123" w:rsidP="00697123">
            <w:pPr>
              <w:pStyle w:val="Heading2"/>
            </w:pPr>
            <w:r>
              <w:t>EDUCATION and AFFILIATIONS</w:t>
            </w:r>
          </w:p>
          <w:p w:rsidR="00697123" w:rsidRDefault="00697123" w:rsidP="00697123"/>
          <w:p w:rsidR="00A044F5" w:rsidRPr="00374D87" w:rsidRDefault="00A044F5" w:rsidP="00A044F5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Auckland University of Technology - Bachelor of Applied Science – 2003</w:t>
            </w:r>
          </w:p>
          <w:p w:rsidR="00A044F5" w:rsidRPr="00374D87" w:rsidRDefault="00A044F5" w:rsidP="00A044F5">
            <w:pPr>
              <w:rPr>
                <w:rFonts w:cs="Arial"/>
                <w:i/>
              </w:rPr>
            </w:pPr>
          </w:p>
          <w:p w:rsidR="00A044F5" w:rsidRPr="00374D87" w:rsidRDefault="00A044F5" w:rsidP="00A044F5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Stream Ecological Valuation (SEV) – Auckland Council – 2013</w:t>
            </w:r>
          </w:p>
          <w:p w:rsidR="00A044F5" w:rsidRPr="00374D87" w:rsidRDefault="00A044F5" w:rsidP="00A044F5">
            <w:pPr>
              <w:rPr>
                <w:rFonts w:cs="Arial"/>
                <w:i/>
              </w:rPr>
            </w:pPr>
          </w:p>
          <w:p w:rsidR="00A044F5" w:rsidRPr="00374D87" w:rsidRDefault="00A044F5" w:rsidP="00A044F5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Crime Prevention Through Environmental Design (CPTED) – Auckland Council - 2014</w:t>
            </w:r>
          </w:p>
          <w:p w:rsidR="00A044F5" w:rsidRPr="00374D87" w:rsidRDefault="00A044F5" w:rsidP="00A044F5">
            <w:pPr>
              <w:pStyle w:val="ListParagraph"/>
              <w:rPr>
                <w:rFonts w:cs="Arial"/>
                <w:i/>
              </w:rPr>
            </w:pPr>
          </w:p>
          <w:p w:rsidR="00A044F5" w:rsidRPr="00374D87" w:rsidRDefault="00A044F5" w:rsidP="00A044F5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Stormwater Management, Treatment and Design (TP10) – BECA – 2013</w:t>
            </w:r>
          </w:p>
          <w:p w:rsidR="00A044F5" w:rsidRPr="00374D87" w:rsidRDefault="00A044F5" w:rsidP="00A044F5">
            <w:pPr>
              <w:rPr>
                <w:rFonts w:cs="Arial"/>
                <w:i/>
              </w:rPr>
            </w:pPr>
          </w:p>
          <w:p w:rsidR="00A044F5" w:rsidRPr="00374D87" w:rsidRDefault="00A044F5" w:rsidP="00A044F5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 xml:space="preserve">Chemical Treatment Workshop – Auckland </w:t>
            </w:r>
            <w:r w:rsidRPr="00374D87">
              <w:rPr>
                <w:rFonts w:cs="Arial"/>
                <w:i/>
              </w:rPr>
              <w:lastRenderedPageBreak/>
              <w:t>Regional Council – 2010</w:t>
            </w:r>
          </w:p>
          <w:p w:rsidR="00A044F5" w:rsidRPr="00374D87" w:rsidRDefault="00A044F5" w:rsidP="00A044F5">
            <w:pPr>
              <w:rPr>
                <w:rFonts w:cs="Arial"/>
                <w:i/>
              </w:rPr>
            </w:pPr>
          </w:p>
          <w:p w:rsidR="00A044F5" w:rsidRPr="00374D87" w:rsidRDefault="00A044F5" w:rsidP="00A044F5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Erosion and Sediment Control for Plan Preparers(TP90)  – Auckland Regional Council – 2007</w:t>
            </w:r>
          </w:p>
          <w:p w:rsidR="00A044F5" w:rsidRPr="00374D87" w:rsidRDefault="00A044F5" w:rsidP="00A044F5">
            <w:pPr>
              <w:rPr>
                <w:rFonts w:cs="Arial"/>
                <w:i/>
              </w:rPr>
            </w:pPr>
          </w:p>
          <w:p w:rsidR="00697123" w:rsidRPr="00374D87" w:rsidRDefault="00082232" w:rsidP="00697123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Regulatory Compliance Certificate</w:t>
            </w:r>
            <w:r w:rsidR="00A044F5" w:rsidRPr="00374D87">
              <w:rPr>
                <w:rFonts w:cs="Arial"/>
                <w:i/>
              </w:rPr>
              <w:t xml:space="preserve"> - Government Regulatory Practice Initiative</w:t>
            </w:r>
            <w:r w:rsidRPr="00374D87">
              <w:rPr>
                <w:rFonts w:cs="Arial"/>
                <w:i/>
              </w:rPr>
              <w:t xml:space="preserve"> - 2017 </w:t>
            </w:r>
          </w:p>
          <w:p w:rsidR="00697123" w:rsidRPr="00374D87" w:rsidRDefault="00697123" w:rsidP="00697123">
            <w:pPr>
              <w:rPr>
                <w:rFonts w:cs="Arial"/>
                <w:i/>
              </w:rPr>
            </w:pPr>
          </w:p>
          <w:p w:rsidR="00697123" w:rsidRPr="00374D87" w:rsidRDefault="00082232" w:rsidP="00697123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First Line Management Certificate -</w:t>
            </w:r>
            <w:r w:rsidR="00A044F5" w:rsidRPr="00374D87">
              <w:rPr>
                <w:rFonts w:cs="Arial"/>
                <w:i/>
              </w:rPr>
              <w:t xml:space="preserve"> Learning State -</w:t>
            </w:r>
            <w:r w:rsidRPr="00374D87">
              <w:rPr>
                <w:rFonts w:cs="Arial"/>
                <w:i/>
              </w:rPr>
              <w:t xml:space="preserve"> 2012</w:t>
            </w:r>
          </w:p>
          <w:p w:rsidR="00082232" w:rsidRPr="00374D87" w:rsidRDefault="00082232" w:rsidP="00082232">
            <w:pPr>
              <w:pStyle w:val="ListParagraph"/>
              <w:rPr>
                <w:rFonts w:cs="Arial"/>
                <w:i/>
              </w:rPr>
            </w:pPr>
          </w:p>
          <w:p w:rsidR="00697123" w:rsidRPr="00374D87" w:rsidRDefault="00082232" w:rsidP="00697123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Bay of Plenty Polytechnic – Diploma in Marine Studies - 2001</w:t>
            </w:r>
          </w:p>
          <w:p w:rsidR="00697123" w:rsidRDefault="00697123" w:rsidP="00A044F5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  <w:sz w:val="24"/>
              </w:rPr>
            </w:pPr>
          </w:p>
          <w:p w:rsidR="00697123" w:rsidRDefault="00697123" w:rsidP="0069712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697123" w:rsidRDefault="00697123" w:rsidP="00697123">
            <w:pPr>
              <w:pStyle w:val="Heading2"/>
              <w:rPr>
                <w:sz w:val="22"/>
              </w:rPr>
            </w:pPr>
            <w:r>
              <w:t>LANGUAGES</w:t>
            </w:r>
          </w:p>
          <w:p w:rsidR="00072D4C" w:rsidRDefault="00072D4C" w:rsidP="00072D4C">
            <w:pPr>
              <w:jc w:val="both"/>
              <w:rPr>
                <w:rFonts w:ascii="Times New Roman" w:hAnsi="Times New Roman"/>
                <w:i/>
                <w:sz w:val="22"/>
              </w:rPr>
            </w:pPr>
          </w:p>
          <w:p w:rsidR="00697123" w:rsidRPr="00374D87" w:rsidRDefault="00697123" w:rsidP="00697123">
            <w:pPr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English</w:t>
            </w:r>
          </w:p>
          <w:p w:rsidR="00B4708A" w:rsidRDefault="00B4708A" w:rsidP="00B4708A">
            <w:pPr>
              <w:jc w:val="both"/>
              <w:rPr>
                <w:rFonts w:ascii="Times New Roman" w:hAnsi="Times New Roman"/>
                <w:i/>
                <w:sz w:val="22"/>
              </w:rPr>
            </w:pPr>
          </w:p>
          <w:p w:rsidR="00697123" w:rsidRDefault="00697123" w:rsidP="00697123">
            <w:pPr>
              <w:jc w:val="both"/>
              <w:rPr>
                <w:rFonts w:ascii="Times New Roman" w:hAnsi="Times New Roman"/>
                <w:i/>
                <w:sz w:val="22"/>
              </w:rPr>
            </w:pPr>
          </w:p>
          <w:p w:rsidR="00697123" w:rsidRDefault="00697123" w:rsidP="00697123">
            <w:pPr>
              <w:jc w:val="both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PROFESSIONAL</w:t>
            </w:r>
            <w:r>
              <w:rPr>
                <w:rFonts w:ascii="Impact" w:hAnsi="Impact"/>
                <w:sz w:val="22"/>
              </w:rPr>
              <w:t xml:space="preserve"> </w:t>
            </w:r>
            <w:r>
              <w:rPr>
                <w:rFonts w:ascii="Impact" w:hAnsi="Impact"/>
                <w:sz w:val="24"/>
              </w:rPr>
              <w:t>HISTORY</w:t>
            </w:r>
          </w:p>
          <w:p w:rsidR="00697123" w:rsidRDefault="00697123" w:rsidP="00697123">
            <w:pPr>
              <w:jc w:val="both"/>
              <w:rPr>
                <w:sz w:val="22"/>
              </w:rPr>
            </w:pPr>
          </w:p>
          <w:p w:rsidR="00A044F5" w:rsidRPr="00374D87" w:rsidRDefault="00B4708A" w:rsidP="00B4708A">
            <w:pPr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 xml:space="preserve">GMP Consulting Ltd – </w:t>
            </w:r>
            <w:r w:rsidR="003B1C77">
              <w:rPr>
                <w:rFonts w:cs="Arial"/>
                <w:i/>
              </w:rPr>
              <w:t xml:space="preserve">Director and </w:t>
            </w:r>
            <w:r w:rsidRPr="00374D87">
              <w:rPr>
                <w:rFonts w:cs="Arial"/>
                <w:i/>
              </w:rPr>
              <w:t xml:space="preserve">Environmental Consultant; sub-contractor to </w:t>
            </w:r>
            <w:r w:rsidR="00697123" w:rsidRPr="00374D87">
              <w:rPr>
                <w:rFonts w:cs="Arial"/>
                <w:i/>
              </w:rPr>
              <w:t>Ridl</w:t>
            </w:r>
            <w:r w:rsidRPr="00374D87">
              <w:rPr>
                <w:rFonts w:cs="Arial"/>
                <w:i/>
              </w:rPr>
              <w:t>eyDunphy Environmental Limited (from 1 May 2017)</w:t>
            </w:r>
          </w:p>
          <w:p w:rsidR="00B4708A" w:rsidRPr="00374D87" w:rsidRDefault="00B4708A" w:rsidP="00B4708A">
            <w:pPr>
              <w:rPr>
                <w:rFonts w:cs="Arial"/>
                <w:i/>
              </w:rPr>
            </w:pPr>
          </w:p>
          <w:p w:rsidR="00697123" w:rsidRPr="00374D87" w:rsidRDefault="00A044F5" w:rsidP="00A044F5">
            <w:pPr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Auckland Council</w:t>
            </w:r>
            <w:r w:rsidR="00697123" w:rsidRPr="00374D87">
              <w:rPr>
                <w:rFonts w:cs="Arial"/>
                <w:i/>
              </w:rPr>
              <w:t xml:space="preserve">: </w:t>
            </w:r>
            <w:r w:rsidRPr="00374D87">
              <w:rPr>
                <w:rFonts w:cs="Arial"/>
                <w:i/>
              </w:rPr>
              <w:t>Team Leader, Western Incidents and Monitoring, Resource Consents</w:t>
            </w:r>
            <w:r w:rsidR="00697123" w:rsidRPr="00374D87">
              <w:rPr>
                <w:rFonts w:cs="Arial"/>
                <w:i/>
              </w:rPr>
              <w:t xml:space="preserve"> (</w:t>
            </w:r>
            <w:r w:rsidRPr="00374D87">
              <w:rPr>
                <w:rFonts w:cs="Arial"/>
                <w:i/>
              </w:rPr>
              <w:t>Sept 2016 – April 2017</w:t>
            </w:r>
            <w:r w:rsidR="00697123" w:rsidRPr="00374D87">
              <w:rPr>
                <w:rFonts w:cs="Arial"/>
                <w:i/>
              </w:rPr>
              <w:t>)</w:t>
            </w:r>
          </w:p>
          <w:p w:rsidR="00697123" w:rsidRPr="00374D87" w:rsidRDefault="00697123" w:rsidP="00697123">
            <w:pPr>
              <w:rPr>
                <w:rFonts w:cs="Arial"/>
                <w:i/>
              </w:rPr>
            </w:pPr>
          </w:p>
          <w:p w:rsidR="00697123" w:rsidRPr="00374D87" w:rsidRDefault="00A044F5" w:rsidP="00697123">
            <w:pPr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Auckland Council: Senior Compliance Advisor, Special Housing Areas, Housing Project Office</w:t>
            </w:r>
            <w:r w:rsidR="00697123" w:rsidRPr="00374D87">
              <w:rPr>
                <w:rFonts w:cs="Arial"/>
                <w:i/>
              </w:rPr>
              <w:t xml:space="preserve"> (</w:t>
            </w:r>
            <w:r w:rsidR="00B4708A" w:rsidRPr="00374D87">
              <w:rPr>
                <w:rFonts w:cs="Arial"/>
                <w:i/>
              </w:rPr>
              <w:t>July 2014 – Sept 2016</w:t>
            </w:r>
            <w:r w:rsidR="00697123" w:rsidRPr="00374D87">
              <w:rPr>
                <w:rFonts w:cs="Arial"/>
                <w:i/>
              </w:rPr>
              <w:t>)</w:t>
            </w:r>
          </w:p>
          <w:p w:rsidR="00697123" w:rsidRPr="00374D87" w:rsidRDefault="00697123" w:rsidP="00697123">
            <w:pPr>
              <w:rPr>
                <w:rFonts w:cs="Arial"/>
                <w:i/>
              </w:rPr>
            </w:pPr>
          </w:p>
          <w:p w:rsidR="00697123" w:rsidRPr="00374D87" w:rsidRDefault="00B4708A" w:rsidP="00697123">
            <w:pPr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Auckland Council: Senior Environmental Monitoring Advisor, Western Resource Consents</w:t>
            </w:r>
            <w:r w:rsidR="00697123" w:rsidRPr="00374D87">
              <w:rPr>
                <w:rFonts w:cs="Arial"/>
                <w:i/>
              </w:rPr>
              <w:t xml:space="preserve"> (</w:t>
            </w:r>
            <w:r w:rsidRPr="00374D87">
              <w:rPr>
                <w:rFonts w:cs="Arial"/>
                <w:i/>
              </w:rPr>
              <w:t>2010 to July 2014</w:t>
            </w:r>
            <w:r w:rsidR="00697123" w:rsidRPr="00374D87">
              <w:rPr>
                <w:rFonts w:cs="Arial"/>
                <w:i/>
              </w:rPr>
              <w:t>)</w:t>
            </w:r>
          </w:p>
          <w:p w:rsidR="00072D4C" w:rsidRPr="00374D87" w:rsidRDefault="00072D4C" w:rsidP="00697123">
            <w:pPr>
              <w:numPr>
                <w:ilvl w:val="12"/>
                <w:numId w:val="0"/>
              </w:numPr>
              <w:ind w:left="283" w:hanging="283"/>
              <w:rPr>
                <w:rFonts w:cs="Arial"/>
                <w:i/>
              </w:rPr>
            </w:pPr>
          </w:p>
          <w:p w:rsidR="00697123" w:rsidRPr="00374D87" w:rsidRDefault="00B4708A" w:rsidP="00697123">
            <w:pPr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Waitakere City Council: Environmental Monitoring Advisor, Resource Consents</w:t>
            </w:r>
            <w:r w:rsidR="00697123" w:rsidRPr="00374D87">
              <w:rPr>
                <w:rFonts w:cs="Arial"/>
                <w:i/>
              </w:rPr>
              <w:t xml:space="preserve"> (</w:t>
            </w:r>
            <w:r w:rsidRPr="00374D87">
              <w:rPr>
                <w:rFonts w:cs="Arial"/>
                <w:i/>
              </w:rPr>
              <w:t>2006 - 2010</w:t>
            </w:r>
            <w:r w:rsidR="00697123" w:rsidRPr="00374D87">
              <w:rPr>
                <w:rFonts w:cs="Arial"/>
                <w:i/>
              </w:rPr>
              <w:t>)</w:t>
            </w:r>
          </w:p>
          <w:p w:rsidR="00697123" w:rsidRPr="00374D87" w:rsidRDefault="00697123" w:rsidP="00697123">
            <w:pPr>
              <w:rPr>
                <w:rFonts w:cs="Arial"/>
                <w:i/>
              </w:rPr>
            </w:pPr>
          </w:p>
          <w:p w:rsidR="00697123" w:rsidRPr="00374D87" w:rsidRDefault="00B4708A" w:rsidP="00697123">
            <w:pPr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374D87">
              <w:rPr>
                <w:rFonts w:cs="Arial"/>
                <w:i/>
              </w:rPr>
              <w:t>Foundation Engineering: Geotechnical Engineering Technician</w:t>
            </w:r>
            <w:r w:rsidR="00697123" w:rsidRPr="00374D87">
              <w:rPr>
                <w:rFonts w:cs="Arial"/>
                <w:i/>
              </w:rPr>
              <w:t xml:space="preserve"> (</w:t>
            </w:r>
            <w:r w:rsidRPr="00374D87">
              <w:rPr>
                <w:rFonts w:cs="Arial"/>
                <w:i/>
              </w:rPr>
              <w:t>2003 - 2004</w:t>
            </w:r>
            <w:r w:rsidR="00697123" w:rsidRPr="00374D87">
              <w:rPr>
                <w:rFonts w:cs="Arial"/>
                <w:i/>
              </w:rPr>
              <w:t>)</w:t>
            </w:r>
          </w:p>
          <w:p w:rsidR="00697123" w:rsidRDefault="00697123" w:rsidP="00697123">
            <w:pPr>
              <w:rPr>
                <w:rFonts w:ascii="Times New Roman" w:hAnsi="Times New Roman"/>
                <w:sz w:val="22"/>
              </w:rPr>
            </w:pPr>
          </w:p>
          <w:p w:rsidR="00697123" w:rsidRDefault="00697123" w:rsidP="0069712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20" w:type="dxa"/>
          </w:tcPr>
          <w:p w:rsidR="00697123" w:rsidRDefault="00697123" w:rsidP="00697123">
            <w:pPr>
              <w:pStyle w:val="Heading2"/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lastRenderedPageBreak/>
              <w:t>INTRODUCTION</w:t>
            </w:r>
          </w:p>
          <w:p w:rsidR="00DD0BB4" w:rsidRPr="00374D87" w:rsidRDefault="002B60E4" w:rsidP="00697123">
            <w:pPr>
              <w:pStyle w:val="BodyTex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74D87">
              <w:rPr>
                <w:rFonts w:ascii="Arial" w:hAnsi="Arial" w:cs="Arial"/>
                <w:sz w:val="22"/>
                <w:szCs w:val="22"/>
              </w:rPr>
              <w:t>Glenn Pope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 has </w:t>
            </w:r>
            <w:r w:rsidRPr="00374D87">
              <w:rPr>
                <w:rFonts w:ascii="Arial" w:hAnsi="Arial" w:cs="Arial"/>
                <w:sz w:val="22"/>
                <w:szCs w:val="22"/>
              </w:rPr>
              <w:t>11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232" w:rsidRPr="00374D87">
              <w:rPr>
                <w:rFonts w:ascii="Arial" w:hAnsi="Arial" w:cs="Arial"/>
                <w:sz w:val="22"/>
                <w:szCs w:val="22"/>
              </w:rPr>
              <w:t>years’ experience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374D87">
              <w:rPr>
                <w:rFonts w:ascii="Arial" w:hAnsi="Arial" w:cs="Arial"/>
                <w:sz w:val="22"/>
                <w:szCs w:val="22"/>
              </w:rPr>
              <w:t xml:space="preserve">local government compliance and </w:t>
            </w:r>
            <w:r w:rsidR="00374D87">
              <w:rPr>
                <w:rFonts w:ascii="Arial" w:hAnsi="Arial" w:cs="Arial"/>
                <w:sz w:val="22"/>
                <w:szCs w:val="22"/>
              </w:rPr>
              <w:t>leadership</w:t>
            </w:r>
            <w:r w:rsidRPr="00374D87">
              <w:rPr>
                <w:rFonts w:ascii="Arial" w:hAnsi="Arial" w:cs="Arial"/>
                <w:sz w:val="22"/>
                <w:szCs w:val="22"/>
              </w:rPr>
              <w:t xml:space="preserve"> roles, resource consent monitoring and enforcement, 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erosion and sediment control, </w:t>
            </w:r>
            <w:r w:rsidR="00DD0BB4" w:rsidRPr="00374D87">
              <w:rPr>
                <w:rFonts w:ascii="Arial" w:hAnsi="Arial" w:cs="Arial"/>
                <w:sz w:val="22"/>
                <w:szCs w:val="22"/>
              </w:rPr>
              <w:t>Special Housing Area</w:t>
            </w:r>
            <w:r w:rsidR="00082232" w:rsidRPr="00374D87">
              <w:rPr>
                <w:rFonts w:ascii="Arial" w:hAnsi="Arial" w:cs="Arial"/>
                <w:sz w:val="22"/>
                <w:szCs w:val="22"/>
              </w:rPr>
              <w:t>s</w:t>
            </w:r>
            <w:r w:rsidR="00DD0BB4" w:rsidRPr="00374D87">
              <w:rPr>
                <w:rFonts w:ascii="Arial" w:hAnsi="Arial" w:cs="Arial"/>
                <w:sz w:val="22"/>
                <w:szCs w:val="22"/>
              </w:rPr>
              <w:t>,</w:t>
            </w:r>
            <w:r w:rsidRPr="00374D87">
              <w:rPr>
                <w:rFonts w:ascii="Arial" w:hAnsi="Arial" w:cs="Arial"/>
                <w:sz w:val="22"/>
                <w:szCs w:val="22"/>
              </w:rPr>
              <w:t xml:space="preserve"> large-scale land </w:t>
            </w:r>
            <w:r w:rsidR="00374D87">
              <w:rPr>
                <w:rFonts w:ascii="Arial" w:hAnsi="Arial" w:cs="Arial"/>
                <w:sz w:val="22"/>
                <w:szCs w:val="22"/>
              </w:rPr>
              <w:t xml:space="preserve">and infrastructure </w:t>
            </w:r>
            <w:r w:rsidR="00CE09C2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Pr="00374D87">
              <w:rPr>
                <w:rFonts w:ascii="Arial" w:hAnsi="Arial" w:cs="Arial"/>
                <w:sz w:val="22"/>
                <w:szCs w:val="22"/>
              </w:rPr>
              <w:t>activities and resource consenting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697123" w:rsidRPr="00374D87" w:rsidRDefault="002B60E4" w:rsidP="00697123">
            <w:pPr>
              <w:pStyle w:val="BodyTex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74D87">
              <w:rPr>
                <w:rFonts w:ascii="Arial" w:hAnsi="Arial" w:cs="Arial"/>
                <w:sz w:val="22"/>
                <w:szCs w:val="22"/>
              </w:rPr>
              <w:t>Glenn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’s specialist areas include </w:t>
            </w:r>
            <w:r w:rsidRPr="00374D87">
              <w:rPr>
                <w:rFonts w:ascii="Arial" w:hAnsi="Arial" w:cs="Arial"/>
                <w:sz w:val="22"/>
                <w:szCs w:val="22"/>
              </w:rPr>
              <w:t xml:space="preserve">resource consent compliance, </w:t>
            </w:r>
            <w:r w:rsidR="00D61CAE" w:rsidRPr="00374D87">
              <w:rPr>
                <w:rFonts w:ascii="Arial" w:hAnsi="Arial" w:cs="Arial"/>
                <w:sz w:val="22"/>
                <w:szCs w:val="22"/>
              </w:rPr>
              <w:t>land development</w:t>
            </w:r>
            <w:r w:rsidRPr="00374D87">
              <w:rPr>
                <w:rFonts w:ascii="Arial" w:hAnsi="Arial" w:cs="Arial"/>
                <w:sz w:val="22"/>
                <w:szCs w:val="22"/>
              </w:rPr>
              <w:t xml:space="preserve"> effects assessment</w:t>
            </w:r>
            <w:r w:rsidR="00CE09C2">
              <w:rPr>
                <w:rFonts w:ascii="Arial" w:hAnsi="Arial" w:cs="Arial"/>
                <w:sz w:val="22"/>
                <w:szCs w:val="22"/>
              </w:rPr>
              <w:t xml:space="preserve"> and management</w:t>
            </w:r>
            <w:r w:rsidRPr="00374D87">
              <w:rPr>
                <w:rFonts w:ascii="Arial" w:hAnsi="Arial" w:cs="Arial"/>
                <w:sz w:val="22"/>
                <w:szCs w:val="22"/>
              </w:rPr>
              <w:t>, ecological restoration</w:t>
            </w:r>
            <w:r w:rsidR="00D61CAE" w:rsidRPr="00374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232" w:rsidRPr="00374D87">
              <w:rPr>
                <w:rFonts w:ascii="Arial" w:hAnsi="Arial" w:cs="Arial"/>
                <w:sz w:val="22"/>
                <w:szCs w:val="22"/>
              </w:rPr>
              <w:t xml:space="preserve">techniques </w:t>
            </w:r>
            <w:r w:rsidR="00D61CAE" w:rsidRPr="00374D8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82232" w:rsidRPr="00374D87">
              <w:rPr>
                <w:rFonts w:ascii="Arial" w:hAnsi="Arial" w:cs="Arial"/>
                <w:sz w:val="22"/>
                <w:szCs w:val="22"/>
              </w:rPr>
              <w:t>offsetting</w:t>
            </w:r>
            <w:r w:rsidRPr="00374D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erosion and sediment control, </w:t>
            </w:r>
            <w:r w:rsidR="00082232" w:rsidRPr="00374D87">
              <w:rPr>
                <w:rFonts w:ascii="Arial" w:hAnsi="Arial" w:cs="Arial"/>
                <w:sz w:val="22"/>
                <w:szCs w:val="22"/>
              </w:rPr>
              <w:t>management of construction effects</w:t>
            </w:r>
            <w:r w:rsidR="003B1C7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A09ED">
              <w:rPr>
                <w:rFonts w:ascii="Arial" w:hAnsi="Arial" w:cs="Arial"/>
                <w:sz w:val="22"/>
                <w:szCs w:val="22"/>
              </w:rPr>
              <w:t>local government regulatory processes</w:t>
            </w:r>
            <w:r w:rsidR="00082232" w:rsidRPr="00374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1CAE" w:rsidRPr="00374D87">
              <w:rPr>
                <w:rFonts w:ascii="Arial" w:hAnsi="Arial" w:cs="Arial"/>
                <w:sz w:val="22"/>
                <w:szCs w:val="22"/>
              </w:rPr>
              <w:t>and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 xml:space="preserve"> statutory approvals under the Resource Management Act 1991</w:t>
            </w:r>
            <w:r w:rsidR="003B1C77">
              <w:rPr>
                <w:rFonts w:ascii="Arial" w:hAnsi="Arial" w:cs="Arial"/>
                <w:sz w:val="22"/>
                <w:szCs w:val="22"/>
              </w:rPr>
              <w:t xml:space="preserve"> and Housing Accords and Special Housing Areas Act 2013</w:t>
            </w:r>
            <w:r w:rsidR="00697123" w:rsidRPr="00374D8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123" w:rsidRDefault="00697123" w:rsidP="00697123">
            <w:pPr>
              <w:pStyle w:val="Heading3"/>
            </w:pPr>
          </w:p>
          <w:p w:rsidR="00697123" w:rsidRDefault="00697123" w:rsidP="00697123">
            <w:pPr>
              <w:pStyle w:val="Heading3"/>
            </w:pPr>
            <w:r>
              <w:t>EXPERIENCE</w:t>
            </w:r>
          </w:p>
          <w:p w:rsidR="00697123" w:rsidRDefault="00697123" w:rsidP="00697123">
            <w:pPr>
              <w:jc w:val="both"/>
              <w:rPr>
                <w:rFonts w:ascii="Impact" w:hAnsi="Impact"/>
                <w:sz w:val="24"/>
              </w:rPr>
            </w:pPr>
          </w:p>
          <w:p w:rsidR="00697123" w:rsidRDefault="00697123" w:rsidP="00697123">
            <w:pPr>
              <w:pStyle w:val="Heading2"/>
              <w:spacing w:after="120"/>
            </w:pPr>
            <w:r>
              <w:t>Technical</w:t>
            </w:r>
          </w:p>
          <w:p w:rsidR="00CE09C2" w:rsidRPr="006901AD" w:rsidRDefault="00636368" w:rsidP="00CE09C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Team Leader for</w:t>
            </w:r>
            <w:r w:rsidR="00CE09C2">
              <w:rPr>
                <w:rFonts w:cs="Arial"/>
                <w:sz w:val="22"/>
              </w:rPr>
              <w:t xml:space="preserve"> Auckland Council’s western compliance team investigating </w:t>
            </w:r>
            <w:r>
              <w:rPr>
                <w:rFonts w:cs="Arial"/>
                <w:sz w:val="22"/>
              </w:rPr>
              <w:t xml:space="preserve">and resolving </w:t>
            </w:r>
            <w:r w:rsidR="00CE09C2">
              <w:rPr>
                <w:rFonts w:cs="Arial"/>
                <w:sz w:val="22"/>
              </w:rPr>
              <w:t>Resource Consent, RMA</w:t>
            </w:r>
            <w:r w:rsidR="00E243AC">
              <w:rPr>
                <w:rFonts w:cs="Arial"/>
                <w:sz w:val="22"/>
              </w:rPr>
              <w:t xml:space="preserve"> and Unitary Plan breaches (2016</w:t>
            </w:r>
            <w:r w:rsidR="00CE09C2">
              <w:rPr>
                <w:rFonts w:cs="Arial"/>
                <w:sz w:val="22"/>
              </w:rPr>
              <w:t xml:space="preserve"> -</w:t>
            </w:r>
            <w:r w:rsidR="00E243AC">
              <w:rPr>
                <w:rFonts w:cs="Arial"/>
                <w:sz w:val="22"/>
              </w:rPr>
              <w:t xml:space="preserve"> 2017</w:t>
            </w:r>
            <w:r w:rsidR="00CE09C2">
              <w:rPr>
                <w:rFonts w:cs="Arial"/>
                <w:sz w:val="22"/>
              </w:rPr>
              <w:t>)</w:t>
            </w:r>
          </w:p>
          <w:p w:rsidR="001E582C" w:rsidRDefault="00CE09C2" w:rsidP="006B4106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Developed and implemented a collaborative compliance monitoring and enforcement strategy for the oversight of development of Special Housing Areas in the Auckland region </w:t>
            </w:r>
            <w:r w:rsidR="003B1C77">
              <w:rPr>
                <w:rFonts w:cs="Arial"/>
                <w:sz w:val="22"/>
                <w:szCs w:val="22"/>
              </w:rPr>
              <w:t xml:space="preserve">under the Housing Accords and Special Housing Areas Act HASHAA </w:t>
            </w:r>
            <w:r>
              <w:rPr>
                <w:rFonts w:cs="Arial"/>
                <w:sz w:val="22"/>
                <w:szCs w:val="22"/>
              </w:rPr>
              <w:t>(2014</w:t>
            </w:r>
            <w:r w:rsidR="00E243AC">
              <w:rPr>
                <w:rFonts w:cs="Arial"/>
                <w:sz w:val="22"/>
                <w:szCs w:val="22"/>
              </w:rPr>
              <w:t xml:space="preserve"> - 2017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CE09C2" w:rsidRDefault="00E243AC" w:rsidP="006B4106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Processed comprehensive earthworks resource consents and acted as Auckland Council’s earthworks specialist across multiple </w:t>
            </w:r>
            <w:r w:rsidR="00636368">
              <w:rPr>
                <w:rFonts w:cs="Arial"/>
                <w:sz w:val="22"/>
                <w:szCs w:val="22"/>
              </w:rPr>
              <w:t xml:space="preserve">qualifying development </w:t>
            </w:r>
            <w:r>
              <w:rPr>
                <w:rFonts w:cs="Arial"/>
                <w:sz w:val="22"/>
                <w:szCs w:val="22"/>
              </w:rPr>
              <w:t xml:space="preserve">resource consents in Special Housing Areas (2014 - 2016) </w:t>
            </w:r>
          </w:p>
          <w:p w:rsidR="00E243AC" w:rsidRDefault="00E243AC" w:rsidP="006B4106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Provision of specialist </w:t>
            </w:r>
            <w:r w:rsidR="003B1C77">
              <w:rPr>
                <w:rFonts w:cs="Arial"/>
                <w:sz w:val="22"/>
                <w:szCs w:val="22"/>
              </w:rPr>
              <w:t xml:space="preserve">earthworks and streamworks </w:t>
            </w:r>
            <w:r>
              <w:rPr>
                <w:rFonts w:cs="Arial"/>
                <w:sz w:val="22"/>
                <w:szCs w:val="22"/>
              </w:rPr>
              <w:t>compliance monitoring as part of Auckland Council’s resource consents compliance unit (2</w:t>
            </w:r>
            <w:r w:rsidR="003B1C77">
              <w:rPr>
                <w:rFonts w:cs="Arial"/>
                <w:sz w:val="22"/>
                <w:szCs w:val="22"/>
              </w:rPr>
              <w:t>010</w:t>
            </w:r>
            <w:r>
              <w:rPr>
                <w:rFonts w:cs="Arial"/>
                <w:sz w:val="22"/>
                <w:szCs w:val="22"/>
              </w:rPr>
              <w:t xml:space="preserve"> – 2017)</w:t>
            </w:r>
          </w:p>
          <w:p w:rsidR="00E243AC" w:rsidRDefault="00E243AC" w:rsidP="006B4106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Provision of earthworks input </w:t>
            </w:r>
            <w:r w:rsidR="003B1C77">
              <w:rPr>
                <w:rFonts w:cs="Arial"/>
                <w:sz w:val="22"/>
                <w:szCs w:val="22"/>
              </w:rPr>
              <w:t xml:space="preserve">and resource consent monitoring </w:t>
            </w:r>
            <w:r>
              <w:rPr>
                <w:rFonts w:cs="Arial"/>
                <w:sz w:val="22"/>
                <w:szCs w:val="22"/>
              </w:rPr>
              <w:t xml:space="preserve">for Auckland Council and Waitakere City Council on various district and regional consent </w:t>
            </w:r>
            <w:r w:rsidR="003B1C77">
              <w:rPr>
                <w:rFonts w:cs="Arial"/>
                <w:sz w:val="22"/>
                <w:szCs w:val="22"/>
              </w:rPr>
              <w:t>developments</w:t>
            </w:r>
            <w:r>
              <w:rPr>
                <w:rFonts w:cs="Arial"/>
                <w:sz w:val="22"/>
                <w:szCs w:val="22"/>
              </w:rPr>
              <w:t xml:space="preserve"> (2006 – 2016)</w:t>
            </w:r>
          </w:p>
          <w:p w:rsidR="00E243AC" w:rsidRDefault="00E243AC" w:rsidP="006B4106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Oversaw the successful transfer of compliance functions between different Council departments during restructuring of Special Housing Area responsibilities (2016)</w:t>
            </w:r>
          </w:p>
          <w:p w:rsidR="00BB70B5" w:rsidRDefault="00BB70B5" w:rsidP="006B4106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Operational understanding of the Auckland Unitary Plan (OIP) (2013 – current)  </w:t>
            </w:r>
          </w:p>
          <w:p w:rsidR="00775548" w:rsidRDefault="00775548" w:rsidP="00775548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Specialist in housing affordability criteria compliance under the Housing Accords and Special Housing Areas Act</w:t>
            </w:r>
            <w:r w:rsidR="003B1C77">
              <w:rPr>
                <w:rFonts w:cs="Arial"/>
                <w:sz w:val="22"/>
                <w:szCs w:val="22"/>
              </w:rPr>
              <w:t xml:space="preserve"> (2014 – current)</w:t>
            </w:r>
          </w:p>
          <w:p w:rsidR="00BA09ED" w:rsidRDefault="00BA09ED" w:rsidP="00775548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Working understanding of the full regulatory approval process for land development activities from 11 years in local government</w:t>
            </w:r>
          </w:p>
          <w:p w:rsidR="00BA09ED" w:rsidRDefault="00BA09ED" w:rsidP="00775548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Provision of geotechnical sampling, testing and reporting </w:t>
            </w:r>
            <w:r w:rsidR="00BA7005">
              <w:rPr>
                <w:rFonts w:cs="Arial"/>
                <w:sz w:val="22"/>
                <w:szCs w:val="22"/>
              </w:rPr>
              <w:t>for Foundation Engineering (2003 – 2004)</w:t>
            </w:r>
          </w:p>
          <w:p w:rsidR="003B1C77" w:rsidRPr="00775548" w:rsidRDefault="003B1C77" w:rsidP="003B1C77">
            <w:pPr>
              <w:spacing w:after="12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697123" w:rsidRDefault="00697123" w:rsidP="00697123">
            <w:pPr>
              <w:pStyle w:val="Heading2"/>
              <w:spacing w:after="120"/>
            </w:pPr>
            <w:r>
              <w:t>Regulatory/Consent</w:t>
            </w:r>
          </w:p>
          <w:p w:rsidR="00BB70B5" w:rsidRDefault="00BB70B5" w:rsidP="009E06A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Responsible for overseeing and provision of all compliance monitoring in Special Housing Areas across Auckland’s major development projects – Hobsonville Point</w:t>
            </w:r>
            <w:r w:rsidR="00775548">
              <w:rPr>
                <w:rFonts w:cs="Arial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</w:rPr>
              <w:t xml:space="preserve"> Flat Bush</w:t>
            </w:r>
            <w:r w:rsidR="00775548">
              <w:rPr>
                <w:rFonts w:cs="Arial"/>
                <w:sz w:val="22"/>
                <w:szCs w:val="22"/>
              </w:rPr>
              <w:t>; Hingaia;</w:t>
            </w:r>
            <w:r>
              <w:rPr>
                <w:rFonts w:cs="Arial"/>
                <w:sz w:val="22"/>
                <w:szCs w:val="22"/>
              </w:rPr>
              <w:t xml:space="preserve"> Tamaki Transformation</w:t>
            </w:r>
            <w:r w:rsidR="00775548">
              <w:rPr>
                <w:rFonts w:cs="Arial"/>
                <w:sz w:val="22"/>
                <w:szCs w:val="22"/>
              </w:rPr>
              <w:t xml:space="preserve">; Scott Point; Waimahia Inlet; Huapai Triangle; Whenuapai Village; Great North Road, Grey Lynn; </w:t>
            </w:r>
            <w:r w:rsidR="003B1C77">
              <w:rPr>
                <w:rFonts w:cs="Arial"/>
                <w:sz w:val="22"/>
                <w:szCs w:val="22"/>
              </w:rPr>
              <w:t xml:space="preserve">Khyber Pass, Newmarket; </w:t>
            </w:r>
            <w:r w:rsidR="00775548">
              <w:rPr>
                <w:rFonts w:cs="Arial"/>
                <w:sz w:val="22"/>
                <w:szCs w:val="22"/>
              </w:rPr>
              <w:t>Ngati Whatua o Orakei; Silverdale; Takanini; Oraha Road, Kumeu; New Lynn; numerous Housing New Zealand developments</w:t>
            </w:r>
            <w:r w:rsidR="00BA09ED">
              <w:rPr>
                <w:rFonts w:cs="Arial"/>
                <w:sz w:val="22"/>
                <w:szCs w:val="22"/>
              </w:rPr>
              <w:t xml:space="preserve"> (2014 – 2017)</w:t>
            </w:r>
          </w:p>
          <w:p w:rsidR="00CC4AD2" w:rsidRDefault="00CC4AD2" w:rsidP="00CC4AD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 of a multi-disciplinary team (Housing Project Office – Auckland Council) delivering complex housing development regulatory approvals and construction monitoring across all Special Housing Areas in the Auckland region (2014 – 2016)</w:t>
            </w:r>
          </w:p>
          <w:p w:rsidR="00926CB1" w:rsidRPr="00E243AC" w:rsidRDefault="00E243AC" w:rsidP="009E06A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 w:rsidRPr="00E243AC">
              <w:rPr>
                <w:rFonts w:cs="Arial"/>
                <w:sz w:val="22"/>
                <w:szCs w:val="22"/>
              </w:rPr>
              <w:t xml:space="preserve">Processed </w:t>
            </w:r>
            <w:r>
              <w:rPr>
                <w:rFonts w:cs="Arial"/>
                <w:sz w:val="22"/>
                <w:szCs w:val="22"/>
              </w:rPr>
              <w:t xml:space="preserve">comprehensive earthworks and contaminated soil remediation </w:t>
            </w:r>
            <w:r w:rsidR="00E30C4D">
              <w:rPr>
                <w:rFonts w:cs="Arial"/>
                <w:sz w:val="22"/>
                <w:szCs w:val="22"/>
              </w:rPr>
              <w:t xml:space="preserve">qualifying development HASHAA resource </w:t>
            </w:r>
            <w:r>
              <w:rPr>
                <w:rFonts w:cs="Arial"/>
                <w:sz w:val="22"/>
                <w:szCs w:val="22"/>
              </w:rPr>
              <w:t xml:space="preserve">consent for </w:t>
            </w:r>
            <w:r w:rsidR="00CC4AD2">
              <w:rPr>
                <w:rFonts w:cs="Arial"/>
                <w:sz w:val="22"/>
                <w:szCs w:val="22"/>
              </w:rPr>
              <w:t>over 20</w:t>
            </w:r>
            <w:r>
              <w:rPr>
                <w:rFonts w:cs="Arial"/>
                <w:sz w:val="22"/>
                <w:szCs w:val="22"/>
              </w:rPr>
              <w:t>Ha of residential land development within the Scott Point Special Housing Area (2016)</w:t>
            </w:r>
          </w:p>
          <w:p w:rsidR="00926CB1" w:rsidRPr="00E243AC" w:rsidRDefault="00E243AC" w:rsidP="009E06A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Processed comprehensive </w:t>
            </w:r>
            <w:r w:rsidR="00BA09ED">
              <w:rPr>
                <w:rFonts w:cs="Arial"/>
                <w:sz w:val="22"/>
                <w:szCs w:val="22"/>
              </w:rPr>
              <w:t xml:space="preserve">earthworks and contaminated soil </w:t>
            </w:r>
            <w:r w:rsidR="003B1C77">
              <w:rPr>
                <w:rFonts w:cs="Arial"/>
                <w:sz w:val="22"/>
                <w:szCs w:val="22"/>
              </w:rPr>
              <w:t>HA</w:t>
            </w:r>
            <w:r w:rsidR="00E30C4D">
              <w:rPr>
                <w:rFonts w:cs="Arial"/>
                <w:sz w:val="22"/>
                <w:szCs w:val="22"/>
              </w:rPr>
              <w:t>S</w:t>
            </w:r>
            <w:r w:rsidR="003B1C77">
              <w:rPr>
                <w:rFonts w:cs="Arial"/>
                <w:sz w:val="22"/>
                <w:szCs w:val="22"/>
              </w:rPr>
              <w:t>H</w:t>
            </w:r>
            <w:r w:rsidR="00E30C4D">
              <w:rPr>
                <w:rFonts w:cs="Arial"/>
                <w:sz w:val="22"/>
                <w:szCs w:val="22"/>
              </w:rPr>
              <w:t xml:space="preserve">AA </w:t>
            </w:r>
            <w:r>
              <w:rPr>
                <w:rFonts w:cs="Arial"/>
                <w:sz w:val="22"/>
                <w:szCs w:val="22"/>
              </w:rPr>
              <w:t xml:space="preserve">resource consent for installation of </w:t>
            </w:r>
            <w:r w:rsidR="00E30C4D">
              <w:rPr>
                <w:rFonts w:cs="Arial"/>
                <w:sz w:val="22"/>
                <w:szCs w:val="22"/>
              </w:rPr>
              <w:t xml:space="preserve">bulk </w:t>
            </w:r>
            <w:r>
              <w:rPr>
                <w:rFonts w:cs="Arial"/>
                <w:sz w:val="22"/>
                <w:szCs w:val="22"/>
              </w:rPr>
              <w:t xml:space="preserve">wastewater line servicing up to 6000 new homes in the Flat Bush Strategic </w:t>
            </w:r>
            <w:r w:rsidR="00E30C4D">
              <w:rPr>
                <w:rFonts w:cs="Arial"/>
                <w:sz w:val="22"/>
                <w:szCs w:val="22"/>
              </w:rPr>
              <w:t>Special Housing Area (2014)</w:t>
            </w:r>
          </w:p>
          <w:p w:rsidR="002D08F6" w:rsidRDefault="00E30C4D" w:rsidP="009E06A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Provision of specialist earthworks technical input and acted as the expert witness for Auckland </w:t>
            </w:r>
            <w:r w:rsidR="00BA09ED">
              <w:rPr>
                <w:rFonts w:cs="Arial"/>
                <w:sz w:val="22"/>
                <w:szCs w:val="22"/>
              </w:rPr>
              <w:t xml:space="preserve">Council </w:t>
            </w:r>
            <w:r>
              <w:rPr>
                <w:rFonts w:cs="Arial"/>
                <w:sz w:val="22"/>
                <w:szCs w:val="22"/>
              </w:rPr>
              <w:t>for Whenuapai Village Special Housing Area HASHAA plan change and qualifying development consents (2014 – 2015)</w:t>
            </w:r>
          </w:p>
          <w:p w:rsidR="00CC4AD2" w:rsidRPr="00E243AC" w:rsidRDefault="00CC4AD2" w:rsidP="009E06A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Processed resource consent for spreading of topsoil over 2.9Ha of future parkland at Onekiritea, Bomb Point, Hobsonville Point </w:t>
            </w:r>
          </w:p>
          <w:p w:rsidR="00CC4AD2" w:rsidRPr="00CC4AD2" w:rsidRDefault="00E30C4D" w:rsidP="00CC4AD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Provision of specialist earthworks assessment on various qualifying development HASHAA resource consent applications across the Auckland region as part of the Special Housing Area consenting team at Auckland Council (2014 – 2016)</w:t>
            </w:r>
          </w:p>
          <w:p w:rsidR="00414B6C" w:rsidRPr="00E243AC" w:rsidRDefault="00414B6C" w:rsidP="009E06A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Provision of specialist advice and resource consent processing of minor applications for Waitakere City Council (2006 – 2010)</w:t>
            </w:r>
          </w:p>
          <w:p w:rsidR="00697123" w:rsidRDefault="00697123" w:rsidP="00697123">
            <w:pPr>
              <w:pStyle w:val="Heading2"/>
              <w:spacing w:after="120"/>
            </w:pPr>
            <w:r>
              <w:t>Policy</w:t>
            </w:r>
          </w:p>
          <w:p w:rsidR="00BB70B5" w:rsidRPr="00414B6C" w:rsidRDefault="00BB70B5" w:rsidP="00BB70B5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Developed and implemented Auckland Council’s Special Housing Area compliance policy following implementation of the Housing Accords and Special Housing Areas Act and Auckland Council signing a Housing Accord with central government (2014)</w:t>
            </w:r>
          </w:p>
          <w:p w:rsidR="00865F20" w:rsidRPr="00BB70B5" w:rsidRDefault="00414B6C" w:rsidP="00697123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 w:val="22"/>
                <w:szCs w:val="22"/>
              </w:rPr>
              <w:t>Reviewed and standardised Auckland Council’s resource consent conditions for use by Council</w:t>
            </w:r>
            <w:r w:rsidR="003B1C77">
              <w:rPr>
                <w:rFonts w:cs="Arial"/>
                <w:sz w:val="22"/>
                <w:szCs w:val="22"/>
              </w:rPr>
              <w:t>’s Planners</w:t>
            </w:r>
            <w:r>
              <w:rPr>
                <w:rFonts w:cs="Arial"/>
                <w:sz w:val="22"/>
                <w:szCs w:val="22"/>
              </w:rPr>
              <w:t xml:space="preserve"> across all Special Housing Areas in the Auckland region (2014)</w:t>
            </w:r>
          </w:p>
          <w:p w:rsidR="00BB70B5" w:rsidRDefault="00BB70B5" w:rsidP="00697123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 w:val="22"/>
                <w:szCs w:val="22"/>
              </w:rPr>
              <w:t>Operational use of the Auckland Unitary Plan since notification in 2013 during rollout of Special Housing Areas</w:t>
            </w:r>
            <w:r w:rsidR="00CC4AD2">
              <w:rPr>
                <w:rFonts w:cs="Arial"/>
                <w:sz w:val="22"/>
                <w:szCs w:val="22"/>
              </w:rPr>
              <w:t xml:space="preserve"> and subsequently as a Compliance Team Leader for Auckland Council (2013 – current)</w:t>
            </w:r>
          </w:p>
          <w:p w:rsidR="009E06A2" w:rsidRDefault="00305D47" w:rsidP="00697123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 w:rsidRPr="00305D47">
              <w:rPr>
                <w:rFonts w:cs="Arial"/>
                <w:sz w:val="22"/>
                <w:szCs w:val="22"/>
              </w:rPr>
              <w:t>Leading the implementation</w:t>
            </w:r>
            <w:r>
              <w:rPr>
                <w:rFonts w:cs="Arial"/>
                <w:sz w:val="22"/>
                <w:szCs w:val="22"/>
              </w:rPr>
              <w:t xml:space="preserve"> of Auckland Council’s risk-based compliance policy in the Western Compliance team</w:t>
            </w:r>
            <w:r w:rsidR="003B1C77">
              <w:rPr>
                <w:rFonts w:cs="Arial"/>
                <w:sz w:val="22"/>
                <w:szCs w:val="22"/>
              </w:rPr>
              <w:t xml:space="preserve"> (2016 – 2017)</w:t>
            </w:r>
          </w:p>
          <w:p w:rsidR="00697123" w:rsidRPr="00BA7005" w:rsidRDefault="003B1C77" w:rsidP="00BA7005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Implementation of a Statutory Declaration policy for purchasers of affordable housing </w:t>
            </w:r>
            <w:r w:rsidR="00BA7005">
              <w:rPr>
                <w:rFonts w:cs="Arial"/>
                <w:sz w:val="22"/>
                <w:szCs w:val="22"/>
              </w:rPr>
              <w:t xml:space="preserve">in Special Housing Areas </w:t>
            </w:r>
            <w:r>
              <w:rPr>
                <w:rFonts w:cs="Arial"/>
                <w:sz w:val="22"/>
                <w:szCs w:val="22"/>
              </w:rPr>
              <w:t>in the Auckland region (2016)</w:t>
            </w:r>
          </w:p>
        </w:tc>
      </w:tr>
    </w:tbl>
    <w:p w:rsidR="00697123" w:rsidRDefault="00697123" w:rsidP="00697123">
      <w:pPr>
        <w:tabs>
          <w:tab w:val="left" w:pos="2460"/>
        </w:tabs>
      </w:pPr>
    </w:p>
    <w:p w:rsidR="00697123" w:rsidRDefault="00697123"/>
    <w:sectPr w:rsidR="00697123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5B" w:rsidRDefault="00890F5B">
      <w:r>
        <w:separator/>
      </w:r>
    </w:p>
  </w:endnote>
  <w:endnote w:type="continuationSeparator" w:id="0">
    <w:p w:rsidR="00890F5B" w:rsidRDefault="008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tique Olv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23" w:rsidRDefault="00697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123" w:rsidRDefault="006971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23" w:rsidRDefault="00697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14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7123" w:rsidRDefault="00636368">
    <w:pPr>
      <w:pStyle w:val="Footer"/>
      <w:ind w:right="360"/>
    </w:pP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5B" w:rsidRDefault="00890F5B">
      <w:r>
        <w:separator/>
      </w:r>
    </w:p>
  </w:footnote>
  <w:footnote w:type="continuationSeparator" w:id="0">
    <w:p w:rsidR="00890F5B" w:rsidRDefault="008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23" w:rsidRDefault="00591535">
    <w:pPr>
      <w:pStyle w:val="Header"/>
      <w:jc w:val="right"/>
      <w:rPr>
        <w:rFonts w:ascii="Impact" w:hAnsi="Impact"/>
        <w:color w:val="000000"/>
        <w:sz w:val="32"/>
      </w:rPr>
    </w:pPr>
    <w:r>
      <w:rPr>
        <w:rFonts w:ascii="Impact" w:hAnsi="Impact"/>
        <w:color w:val="000000"/>
        <w:sz w:val="32"/>
      </w:rPr>
      <w:t>Glenn Pope</w:t>
    </w:r>
  </w:p>
  <w:p w:rsidR="00697123" w:rsidRDefault="00697123">
    <w:pPr>
      <w:pStyle w:val="Header"/>
      <w:jc w:val="right"/>
      <w:rPr>
        <w:rFonts w:ascii="Antique Olv (WN)" w:hAnsi="Antique Olv (WN)"/>
        <w:i/>
        <w:color w:val="000000"/>
        <w:sz w:val="22"/>
      </w:rPr>
    </w:pPr>
    <w:r>
      <w:rPr>
        <w:rFonts w:ascii="Antique Olv (WN)" w:hAnsi="Antique Olv (WN)"/>
        <w:i/>
        <w:color w:val="000000"/>
        <w:sz w:val="22"/>
      </w:rPr>
      <w:t>Environmental Consultant</w:t>
    </w:r>
  </w:p>
  <w:p w:rsidR="00697123" w:rsidRDefault="0069712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5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2D52B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D1435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08076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3233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38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41E04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ED347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123"/>
    <w:rsid w:val="0003078A"/>
    <w:rsid w:val="00054AB4"/>
    <w:rsid w:val="00072D4C"/>
    <w:rsid w:val="00082232"/>
    <w:rsid w:val="000909C9"/>
    <w:rsid w:val="000B6140"/>
    <w:rsid w:val="000C37E1"/>
    <w:rsid w:val="00115540"/>
    <w:rsid w:val="001A1649"/>
    <w:rsid w:val="001A5F3E"/>
    <w:rsid w:val="001B4D43"/>
    <w:rsid w:val="001D13E0"/>
    <w:rsid w:val="001D5768"/>
    <w:rsid w:val="001E582C"/>
    <w:rsid w:val="00204C80"/>
    <w:rsid w:val="002551CF"/>
    <w:rsid w:val="002B60E4"/>
    <w:rsid w:val="002D08F6"/>
    <w:rsid w:val="00305D47"/>
    <w:rsid w:val="00374D87"/>
    <w:rsid w:val="003973D0"/>
    <w:rsid w:val="00397E76"/>
    <w:rsid w:val="003B1C77"/>
    <w:rsid w:val="00414B6C"/>
    <w:rsid w:val="00481AA0"/>
    <w:rsid w:val="00492DD1"/>
    <w:rsid w:val="004E2038"/>
    <w:rsid w:val="005036D2"/>
    <w:rsid w:val="00567C27"/>
    <w:rsid w:val="00580368"/>
    <w:rsid w:val="00580F9C"/>
    <w:rsid w:val="00591535"/>
    <w:rsid w:val="005C10D0"/>
    <w:rsid w:val="005E30F6"/>
    <w:rsid w:val="005F4FA7"/>
    <w:rsid w:val="00621B3E"/>
    <w:rsid w:val="006237ED"/>
    <w:rsid w:val="00636368"/>
    <w:rsid w:val="006656CE"/>
    <w:rsid w:val="00692C44"/>
    <w:rsid w:val="00697123"/>
    <w:rsid w:val="006B1C70"/>
    <w:rsid w:val="006B4106"/>
    <w:rsid w:val="006C1748"/>
    <w:rsid w:val="007207B4"/>
    <w:rsid w:val="00733D84"/>
    <w:rsid w:val="00775548"/>
    <w:rsid w:val="0084660D"/>
    <w:rsid w:val="00865F20"/>
    <w:rsid w:val="00890F5B"/>
    <w:rsid w:val="008B5391"/>
    <w:rsid w:val="0091791F"/>
    <w:rsid w:val="00926CB1"/>
    <w:rsid w:val="00954D66"/>
    <w:rsid w:val="0098571B"/>
    <w:rsid w:val="009C6C58"/>
    <w:rsid w:val="009E06A2"/>
    <w:rsid w:val="00A044F5"/>
    <w:rsid w:val="00A05669"/>
    <w:rsid w:val="00A73A5C"/>
    <w:rsid w:val="00AB13A6"/>
    <w:rsid w:val="00AC1DB4"/>
    <w:rsid w:val="00B4708A"/>
    <w:rsid w:val="00B52D3F"/>
    <w:rsid w:val="00B571C8"/>
    <w:rsid w:val="00B7138B"/>
    <w:rsid w:val="00B82872"/>
    <w:rsid w:val="00BA09ED"/>
    <w:rsid w:val="00BA7005"/>
    <w:rsid w:val="00BB70B5"/>
    <w:rsid w:val="00BC3224"/>
    <w:rsid w:val="00BC4B01"/>
    <w:rsid w:val="00C06431"/>
    <w:rsid w:val="00C274EF"/>
    <w:rsid w:val="00C72320"/>
    <w:rsid w:val="00C81389"/>
    <w:rsid w:val="00CA24FA"/>
    <w:rsid w:val="00CC4AD2"/>
    <w:rsid w:val="00CC6BF6"/>
    <w:rsid w:val="00CE09C2"/>
    <w:rsid w:val="00CE76FA"/>
    <w:rsid w:val="00D32649"/>
    <w:rsid w:val="00D43A4D"/>
    <w:rsid w:val="00D5074F"/>
    <w:rsid w:val="00D5763A"/>
    <w:rsid w:val="00D61CAE"/>
    <w:rsid w:val="00D62660"/>
    <w:rsid w:val="00D836A1"/>
    <w:rsid w:val="00D95FB3"/>
    <w:rsid w:val="00DD0BB4"/>
    <w:rsid w:val="00DD1204"/>
    <w:rsid w:val="00DE623F"/>
    <w:rsid w:val="00E1639F"/>
    <w:rsid w:val="00E243AC"/>
    <w:rsid w:val="00E30C4D"/>
    <w:rsid w:val="00E4287E"/>
    <w:rsid w:val="00E71A2A"/>
    <w:rsid w:val="00E91A7D"/>
    <w:rsid w:val="00ED755B"/>
    <w:rsid w:val="00EE68C4"/>
    <w:rsid w:val="00F46878"/>
    <w:rsid w:val="00FB031B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605"/>
  <w15:chartTrackingRefBased/>
  <w15:docId w15:val="{0ABA04BA-A5F1-4A28-B8C8-B671705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7123"/>
    <w:rPr>
      <w:rFonts w:ascii="Arial" w:eastAsia="Times New Roman" w:hAnsi="Arial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697123"/>
    <w:pPr>
      <w:keepNext/>
      <w:jc w:val="both"/>
      <w:outlineLvl w:val="1"/>
    </w:pPr>
    <w:rPr>
      <w:rFonts w:ascii="Impact" w:hAnsi="Impact"/>
      <w:sz w:val="24"/>
    </w:rPr>
  </w:style>
  <w:style w:type="paragraph" w:styleId="Heading3">
    <w:name w:val="heading 3"/>
    <w:basedOn w:val="Normal"/>
    <w:next w:val="Normal"/>
    <w:link w:val="Heading3Char"/>
    <w:qFormat/>
    <w:rsid w:val="00697123"/>
    <w:pPr>
      <w:keepNext/>
      <w:jc w:val="both"/>
      <w:outlineLvl w:val="2"/>
    </w:pPr>
    <w:rPr>
      <w:rFonts w:ascii="Impact" w:hAnsi="Impac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97123"/>
    <w:rPr>
      <w:rFonts w:ascii="Impact" w:eastAsia="Times New Roman" w:hAnsi="Impact" w:cs="Times New Roman"/>
      <w:sz w:val="24"/>
      <w:szCs w:val="20"/>
      <w:lang w:val="en-AU"/>
    </w:rPr>
  </w:style>
  <w:style w:type="character" w:customStyle="1" w:styleId="Heading3Char">
    <w:name w:val="Heading 3 Char"/>
    <w:link w:val="Heading3"/>
    <w:rsid w:val="00697123"/>
    <w:rPr>
      <w:rFonts w:ascii="Impact" w:eastAsia="Times New Roman" w:hAnsi="Impact" w:cs="Times New Roman"/>
      <w:sz w:val="28"/>
      <w:szCs w:val="20"/>
      <w:lang w:val="en-AU"/>
    </w:rPr>
  </w:style>
  <w:style w:type="paragraph" w:styleId="Header">
    <w:name w:val="header"/>
    <w:basedOn w:val="Normal"/>
    <w:link w:val="HeaderChar"/>
    <w:rsid w:val="006971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7123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6971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7123"/>
    <w:rPr>
      <w:rFonts w:ascii="Arial" w:eastAsia="Times New Roman" w:hAnsi="Arial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97123"/>
  </w:style>
  <w:style w:type="paragraph" w:styleId="BodyText">
    <w:name w:val="Body Text"/>
    <w:basedOn w:val="Normal"/>
    <w:link w:val="BodyTextChar"/>
    <w:rsid w:val="0069712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69712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82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Ridley</dc:creator>
  <cp:keywords/>
  <cp:lastModifiedBy>Glenn</cp:lastModifiedBy>
  <cp:revision>9</cp:revision>
  <cp:lastPrinted>2012-07-15T19:14:00Z</cp:lastPrinted>
  <dcterms:created xsi:type="dcterms:W3CDTF">2017-02-16T08:12:00Z</dcterms:created>
  <dcterms:modified xsi:type="dcterms:W3CDTF">2017-04-17T20:49:00Z</dcterms:modified>
</cp:coreProperties>
</file>